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C47AE" w14:textId="77777777" w:rsidR="00E52F00" w:rsidRDefault="00E52F00" w:rsidP="00E52F00"/>
    <w:p w14:paraId="451D7C78" w14:textId="77777777" w:rsidR="00D2001E" w:rsidRPr="00D2001E" w:rsidRDefault="00D2001E" w:rsidP="00D2001E">
      <w:pPr>
        <w:rPr>
          <w:b/>
          <w:bCs/>
        </w:rPr>
      </w:pPr>
      <w:r w:rsidRPr="00D2001E">
        <w:rPr>
          <w:b/>
          <w:bCs/>
        </w:rPr>
        <w:t>Tips for IRB Review and Approval</w:t>
      </w:r>
    </w:p>
    <w:p w14:paraId="173CD1B3" w14:textId="77777777" w:rsidR="00D2001E" w:rsidRDefault="00D2001E" w:rsidP="00D2001E">
      <w:pPr>
        <w:numPr>
          <w:ilvl w:val="0"/>
          <w:numId w:val="3"/>
        </w:numPr>
      </w:pPr>
      <w:r w:rsidRPr="00D2001E">
        <w:rPr>
          <w:b/>
          <w:bCs/>
        </w:rPr>
        <w:t>Complete required training.</w:t>
      </w:r>
      <w:r w:rsidRPr="00D2001E">
        <w:br/>
        <w:t>Ensure that all study team members have current CITI Human Subjects Research training. For graduate student–led studies, confirm that the faculty advisor has also completed the CITI Faculty Advisor Supplemental training.</w:t>
      </w:r>
    </w:p>
    <w:p w14:paraId="4C1BED6B" w14:textId="77777777" w:rsidR="00E21036" w:rsidRPr="00D2001E" w:rsidRDefault="00E21036" w:rsidP="00E21036">
      <w:pPr>
        <w:numPr>
          <w:ilvl w:val="0"/>
          <w:numId w:val="3"/>
        </w:numPr>
      </w:pPr>
      <w:r w:rsidRPr="00D2001E">
        <w:rPr>
          <w:b/>
          <w:bCs/>
        </w:rPr>
        <w:t>Identify graduate student leadership when applicable.</w:t>
      </w:r>
      <w:r w:rsidRPr="00D2001E">
        <w:br/>
        <w:t>If the Principal Investigator (PI) is a graduate student, select the “Graduate Student” designation on the application and list the faculty advisor as study personnel.</w:t>
      </w:r>
    </w:p>
    <w:p w14:paraId="3C74EE4C" w14:textId="54C0FA56" w:rsidR="00C95CD3" w:rsidRDefault="00C95CD3" w:rsidP="00C95CD3">
      <w:pPr>
        <w:numPr>
          <w:ilvl w:val="0"/>
          <w:numId w:val="3"/>
        </w:numPr>
      </w:pPr>
      <w:r w:rsidRPr="00D2001E">
        <w:rPr>
          <w:b/>
          <w:bCs/>
        </w:rPr>
        <w:t>Document investigator experience.</w:t>
      </w:r>
      <w:r w:rsidRPr="00D2001E">
        <w:br/>
      </w:r>
      <w:r w:rsidR="00084722">
        <w:t>Describe</w:t>
      </w:r>
      <w:r w:rsidRPr="00D2001E">
        <w:t xml:space="preserve"> relevant research experience for all study investigators listed on the application</w:t>
      </w:r>
      <w:r w:rsidR="00084722">
        <w:t xml:space="preserve">, including faculty advisor experience. </w:t>
      </w:r>
    </w:p>
    <w:p w14:paraId="13458C28" w14:textId="06324539" w:rsidR="00D2001E" w:rsidRPr="00D2001E" w:rsidRDefault="00D2001E" w:rsidP="00D2001E">
      <w:pPr>
        <w:numPr>
          <w:ilvl w:val="0"/>
          <w:numId w:val="3"/>
        </w:numPr>
      </w:pPr>
      <w:r w:rsidRPr="00D2001E">
        <w:rPr>
          <w:b/>
          <w:bCs/>
        </w:rPr>
        <w:t>Respond fully to every application item.</w:t>
      </w:r>
      <w:r w:rsidRPr="00D2001E">
        <w:br/>
        <w:t xml:space="preserve">Each question in the IRB application </w:t>
      </w:r>
      <w:r w:rsidR="00E21036">
        <w:t>must</w:t>
      </w:r>
      <w:r w:rsidRPr="00D2001E">
        <w:t xml:space="preserve"> be answered completely and address all elements requested in the prompt</w:t>
      </w:r>
      <w:r w:rsidR="00E21036">
        <w:t xml:space="preserve"> on the application.</w:t>
      </w:r>
    </w:p>
    <w:p w14:paraId="752B57FA" w14:textId="0C6C00B4" w:rsidR="00D2001E" w:rsidRPr="00D2001E" w:rsidRDefault="00D2001E" w:rsidP="00D2001E">
      <w:pPr>
        <w:numPr>
          <w:ilvl w:val="0"/>
          <w:numId w:val="3"/>
        </w:numPr>
      </w:pPr>
      <w:r w:rsidRPr="00D2001E">
        <w:rPr>
          <w:b/>
          <w:bCs/>
        </w:rPr>
        <w:t>Describe data security for online platforms.</w:t>
      </w:r>
      <w:r w:rsidRPr="00D2001E">
        <w:br/>
        <w:t>If any part of the study uses online tools or platforms, clearly describe the level of data security and protection in the Risk Management section of the application.</w:t>
      </w:r>
      <w:r w:rsidR="00C95CD3">
        <w:t xml:space="preserve"> Additionally, consult the </w:t>
      </w:r>
      <w:hyperlink r:id="rId5" w:history="1">
        <w:r w:rsidR="00C95CD3" w:rsidRPr="00C95CD3">
          <w:rPr>
            <w:rStyle w:val="Hyperlink"/>
          </w:rPr>
          <w:t>SDSU IT Data Security Storage Practices</w:t>
        </w:r>
      </w:hyperlink>
      <w:r w:rsidR="00C95CD3">
        <w:t xml:space="preserve"> for best practices for data storage.  </w:t>
      </w:r>
    </w:p>
    <w:p w14:paraId="1ADB0A28" w14:textId="77777777" w:rsidR="00D2001E" w:rsidRPr="00D2001E" w:rsidRDefault="00D2001E" w:rsidP="00D2001E">
      <w:pPr>
        <w:numPr>
          <w:ilvl w:val="0"/>
          <w:numId w:val="3"/>
        </w:numPr>
      </w:pPr>
      <w:r w:rsidRPr="00D2001E">
        <w:rPr>
          <w:b/>
          <w:bCs/>
        </w:rPr>
        <w:t>Clearly state risks.</w:t>
      </w:r>
      <w:r w:rsidRPr="00D2001E">
        <w:br/>
        <w:t>Describe all potential risks in both the IRB application and the informed consent document, using consistent language across materials.</w:t>
      </w:r>
    </w:p>
    <w:p w14:paraId="60216F94" w14:textId="77777777" w:rsidR="00D2001E" w:rsidRPr="00D2001E" w:rsidRDefault="00D2001E" w:rsidP="00D2001E">
      <w:pPr>
        <w:numPr>
          <w:ilvl w:val="0"/>
          <w:numId w:val="3"/>
        </w:numPr>
      </w:pPr>
      <w:r w:rsidRPr="00D2001E">
        <w:rPr>
          <w:b/>
          <w:bCs/>
        </w:rPr>
        <w:t>Use “anonymous” and “confidential” correctly.</w:t>
      </w:r>
      <w:r w:rsidRPr="00D2001E">
        <w:br/>
        <w:t>Do not use these terms interchangeably:</w:t>
      </w:r>
    </w:p>
    <w:p w14:paraId="7DC272CE" w14:textId="77777777" w:rsidR="00D2001E" w:rsidRPr="00D2001E" w:rsidRDefault="00D2001E" w:rsidP="00D2001E">
      <w:pPr>
        <w:numPr>
          <w:ilvl w:val="1"/>
          <w:numId w:val="3"/>
        </w:numPr>
      </w:pPr>
      <w:r w:rsidRPr="00D2001E">
        <w:rPr>
          <w:i/>
          <w:iCs/>
        </w:rPr>
        <w:t>Anonymous</w:t>
      </w:r>
      <w:r w:rsidRPr="00D2001E">
        <w:t xml:space="preserve"> means that the identity of participants is never known to the research team at any point.</w:t>
      </w:r>
    </w:p>
    <w:p w14:paraId="27BB3436" w14:textId="36C466AF" w:rsidR="00D2001E" w:rsidRDefault="00D2001E" w:rsidP="00D2001E">
      <w:pPr>
        <w:numPr>
          <w:ilvl w:val="1"/>
          <w:numId w:val="3"/>
        </w:numPr>
      </w:pPr>
      <w:r w:rsidRPr="00D2001E">
        <w:rPr>
          <w:i/>
          <w:iCs/>
        </w:rPr>
        <w:t>Confidential</w:t>
      </w:r>
      <w:r w:rsidRPr="00D2001E">
        <w:t xml:space="preserve"> means that participant identities are known or can be linked to the data (e.g., through direct identifiers or a code key</w:t>
      </w:r>
      <w:r w:rsidR="00C95CD3" w:rsidRPr="00D2001E">
        <w:t>) but</w:t>
      </w:r>
      <w:r w:rsidRPr="00D2001E">
        <w:t xml:space="preserve"> are protected by the research team.</w:t>
      </w:r>
      <w:r w:rsidR="00C95CD3">
        <w:t xml:space="preserve"> </w:t>
      </w:r>
    </w:p>
    <w:p w14:paraId="75A195B8" w14:textId="09945AFA" w:rsidR="00DA1AE2" w:rsidRPr="00DA1AE2" w:rsidRDefault="00DA1AE2" w:rsidP="00DA1AE2">
      <w:pPr>
        <w:pStyle w:val="ListParagraph"/>
        <w:numPr>
          <w:ilvl w:val="0"/>
          <w:numId w:val="3"/>
        </w:numPr>
        <w:rPr>
          <w:b/>
          <w:bCs/>
        </w:rPr>
      </w:pPr>
      <w:r w:rsidRPr="00DA1AE2">
        <w:rPr>
          <w:b/>
          <w:bCs/>
        </w:rPr>
        <w:t>Include all Supporting Documents with the submission.</w:t>
      </w:r>
      <w:r w:rsidR="0093731E">
        <w:rPr>
          <w:b/>
          <w:bCs/>
        </w:rPr>
        <w:t xml:space="preserve"> [add link to video tutorial]</w:t>
      </w:r>
    </w:p>
    <w:p w14:paraId="53CEBA55" w14:textId="77777777" w:rsidR="00D2001E" w:rsidRPr="00D2001E" w:rsidRDefault="00D2001E" w:rsidP="00D2001E">
      <w:pPr>
        <w:numPr>
          <w:ilvl w:val="0"/>
          <w:numId w:val="3"/>
        </w:numPr>
      </w:pPr>
      <w:r w:rsidRPr="00D2001E">
        <w:rPr>
          <w:b/>
          <w:bCs/>
        </w:rPr>
        <w:lastRenderedPageBreak/>
        <w:t>Ensure consistency across documents.</w:t>
      </w:r>
      <w:r w:rsidRPr="00D2001E">
        <w:br/>
        <w:t>Review the application and all supporting materials to confirm that information is accurate, aligned, and consistent throughout.</w:t>
      </w:r>
    </w:p>
    <w:sectPr w:rsidR="00D2001E" w:rsidRPr="00D20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42180"/>
    <w:multiLevelType w:val="multilevel"/>
    <w:tmpl w:val="D9647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530768"/>
    <w:multiLevelType w:val="hybridMultilevel"/>
    <w:tmpl w:val="8BC47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7B66A3"/>
    <w:multiLevelType w:val="hybridMultilevel"/>
    <w:tmpl w:val="B4AA74F8"/>
    <w:lvl w:ilvl="0" w:tplc="D76CC2FC">
      <w:start w:val="1"/>
      <w:numFmt w:val="bullet"/>
      <w:lvlText w:val="•"/>
      <w:lvlJc w:val="left"/>
      <w:pPr>
        <w:tabs>
          <w:tab w:val="num" w:pos="720"/>
        </w:tabs>
        <w:ind w:left="720" w:hanging="360"/>
      </w:pPr>
      <w:rPr>
        <w:rFonts w:ascii="Arial" w:hAnsi="Arial" w:hint="default"/>
      </w:rPr>
    </w:lvl>
    <w:lvl w:ilvl="1" w:tplc="BD529B2C" w:tentative="1">
      <w:start w:val="1"/>
      <w:numFmt w:val="bullet"/>
      <w:lvlText w:val="•"/>
      <w:lvlJc w:val="left"/>
      <w:pPr>
        <w:tabs>
          <w:tab w:val="num" w:pos="1440"/>
        </w:tabs>
        <w:ind w:left="1440" w:hanging="360"/>
      </w:pPr>
      <w:rPr>
        <w:rFonts w:ascii="Arial" w:hAnsi="Arial" w:hint="default"/>
      </w:rPr>
    </w:lvl>
    <w:lvl w:ilvl="2" w:tplc="88F49E1C" w:tentative="1">
      <w:start w:val="1"/>
      <w:numFmt w:val="bullet"/>
      <w:lvlText w:val="•"/>
      <w:lvlJc w:val="left"/>
      <w:pPr>
        <w:tabs>
          <w:tab w:val="num" w:pos="2160"/>
        </w:tabs>
        <w:ind w:left="2160" w:hanging="360"/>
      </w:pPr>
      <w:rPr>
        <w:rFonts w:ascii="Arial" w:hAnsi="Arial" w:hint="default"/>
      </w:rPr>
    </w:lvl>
    <w:lvl w:ilvl="3" w:tplc="446EA0DE" w:tentative="1">
      <w:start w:val="1"/>
      <w:numFmt w:val="bullet"/>
      <w:lvlText w:val="•"/>
      <w:lvlJc w:val="left"/>
      <w:pPr>
        <w:tabs>
          <w:tab w:val="num" w:pos="2880"/>
        </w:tabs>
        <w:ind w:left="2880" w:hanging="360"/>
      </w:pPr>
      <w:rPr>
        <w:rFonts w:ascii="Arial" w:hAnsi="Arial" w:hint="default"/>
      </w:rPr>
    </w:lvl>
    <w:lvl w:ilvl="4" w:tplc="014E5F5E" w:tentative="1">
      <w:start w:val="1"/>
      <w:numFmt w:val="bullet"/>
      <w:lvlText w:val="•"/>
      <w:lvlJc w:val="left"/>
      <w:pPr>
        <w:tabs>
          <w:tab w:val="num" w:pos="3600"/>
        </w:tabs>
        <w:ind w:left="3600" w:hanging="360"/>
      </w:pPr>
      <w:rPr>
        <w:rFonts w:ascii="Arial" w:hAnsi="Arial" w:hint="default"/>
      </w:rPr>
    </w:lvl>
    <w:lvl w:ilvl="5" w:tplc="FCD06302" w:tentative="1">
      <w:start w:val="1"/>
      <w:numFmt w:val="bullet"/>
      <w:lvlText w:val="•"/>
      <w:lvlJc w:val="left"/>
      <w:pPr>
        <w:tabs>
          <w:tab w:val="num" w:pos="4320"/>
        </w:tabs>
        <w:ind w:left="4320" w:hanging="360"/>
      </w:pPr>
      <w:rPr>
        <w:rFonts w:ascii="Arial" w:hAnsi="Arial" w:hint="default"/>
      </w:rPr>
    </w:lvl>
    <w:lvl w:ilvl="6" w:tplc="A1360190" w:tentative="1">
      <w:start w:val="1"/>
      <w:numFmt w:val="bullet"/>
      <w:lvlText w:val="•"/>
      <w:lvlJc w:val="left"/>
      <w:pPr>
        <w:tabs>
          <w:tab w:val="num" w:pos="5040"/>
        </w:tabs>
        <w:ind w:left="5040" w:hanging="360"/>
      </w:pPr>
      <w:rPr>
        <w:rFonts w:ascii="Arial" w:hAnsi="Arial" w:hint="default"/>
      </w:rPr>
    </w:lvl>
    <w:lvl w:ilvl="7" w:tplc="4514864C" w:tentative="1">
      <w:start w:val="1"/>
      <w:numFmt w:val="bullet"/>
      <w:lvlText w:val="•"/>
      <w:lvlJc w:val="left"/>
      <w:pPr>
        <w:tabs>
          <w:tab w:val="num" w:pos="5760"/>
        </w:tabs>
        <w:ind w:left="5760" w:hanging="360"/>
      </w:pPr>
      <w:rPr>
        <w:rFonts w:ascii="Arial" w:hAnsi="Arial" w:hint="default"/>
      </w:rPr>
    </w:lvl>
    <w:lvl w:ilvl="8" w:tplc="99D4E5B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3AD2C58"/>
    <w:multiLevelType w:val="multilevel"/>
    <w:tmpl w:val="E12C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682555">
    <w:abstractNumId w:val="2"/>
  </w:num>
  <w:num w:numId="2" w16cid:durableId="404497227">
    <w:abstractNumId w:val="1"/>
  </w:num>
  <w:num w:numId="3" w16cid:durableId="973368472">
    <w:abstractNumId w:val="0"/>
  </w:num>
  <w:num w:numId="4" w16cid:durableId="1116358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00"/>
    <w:rsid w:val="00084722"/>
    <w:rsid w:val="0015361B"/>
    <w:rsid w:val="00235CAE"/>
    <w:rsid w:val="00353F0E"/>
    <w:rsid w:val="0093731E"/>
    <w:rsid w:val="00C95CD3"/>
    <w:rsid w:val="00D2001E"/>
    <w:rsid w:val="00DA1AE2"/>
    <w:rsid w:val="00E21036"/>
    <w:rsid w:val="00E52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7B1C5"/>
  <w15:chartTrackingRefBased/>
  <w15:docId w15:val="{BDEC9E65-4BEE-442F-929D-A6BE845A7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F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2F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F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F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F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F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F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F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F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F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2F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F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F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F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F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F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F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F00"/>
    <w:rPr>
      <w:rFonts w:eastAsiaTheme="majorEastAsia" w:cstheme="majorBidi"/>
      <w:color w:val="272727" w:themeColor="text1" w:themeTint="D8"/>
    </w:rPr>
  </w:style>
  <w:style w:type="paragraph" w:styleId="Title">
    <w:name w:val="Title"/>
    <w:basedOn w:val="Normal"/>
    <w:next w:val="Normal"/>
    <w:link w:val="TitleChar"/>
    <w:uiPriority w:val="10"/>
    <w:qFormat/>
    <w:rsid w:val="00E52F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F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F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F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F00"/>
    <w:pPr>
      <w:spacing w:before="160"/>
      <w:jc w:val="center"/>
    </w:pPr>
    <w:rPr>
      <w:i/>
      <w:iCs/>
      <w:color w:val="404040" w:themeColor="text1" w:themeTint="BF"/>
    </w:rPr>
  </w:style>
  <w:style w:type="character" w:customStyle="1" w:styleId="QuoteChar">
    <w:name w:val="Quote Char"/>
    <w:basedOn w:val="DefaultParagraphFont"/>
    <w:link w:val="Quote"/>
    <w:uiPriority w:val="29"/>
    <w:rsid w:val="00E52F00"/>
    <w:rPr>
      <w:i/>
      <w:iCs/>
      <w:color w:val="404040" w:themeColor="text1" w:themeTint="BF"/>
    </w:rPr>
  </w:style>
  <w:style w:type="paragraph" w:styleId="ListParagraph">
    <w:name w:val="List Paragraph"/>
    <w:basedOn w:val="Normal"/>
    <w:uiPriority w:val="34"/>
    <w:qFormat/>
    <w:rsid w:val="00E52F00"/>
    <w:pPr>
      <w:ind w:left="720"/>
      <w:contextualSpacing/>
    </w:pPr>
  </w:style>
  <w:style w:type="character" w:styleId="IntenseEmphasis">
    <w:name w:val="Intense Emphasis"/>
    <w:basedOn w:val="DefaultParagraphFont"/>
    <w:uiPriority w:val="21"/>
    <w:qFormat/>
    <w:rsid w:val="00E52F00"/>
    <w:rPr>
      <w:i/>
      <w:iCs/>
      <w:color w:val="0F4761" w:themeColor="accent1" w:themeShade="BF"/>
    </w:rPr>
  </w:style>
  <w:style w:type="paragraph" w:styleId="IntenseQuote">
    <w:name w:val="Intense Quote"/>
    <w:basedOn w:val="Normal"/>
    <w:next w:val="Normal"/>
    <w:link w:val="IntenseQuoteChar"/>
    <w:uiPriority w:val="30"/>
    <w:qFormat/>
    <w:rsid w:val="00E52F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F00"/>
    <w:rPr>
      <w:i/>
      <w:iCs/>
      <w:color w:val="0F4761" w:themeColor="accent1" w:themeShade="BF"/>
    </w:rPr>
  </w:style>
  <w:style w:type="character" w:styleId="IntenseReference">
    <w:name w:val="Intense Reference"/>
    <w:basedOn w:val="DefaultParagraphFont"/>
    <w:uiPriority w:val="32"/>
    <w:qFormat/>
    <w:rsid w:val="00E52F00"/>
    <w:rPr>
      <w:b/>
      <w:bCs/>
      <w:smallCaps/>
      <w:color w:val="0F4761" w:themeColor="accent1" w:themeShade="BF"/>
      <w:spacing w:val="5"/>
    </w:rPr>
  </w:style>
  <w:style w:type="character" w:styleId="Hyperlink">
    <w:name w:val="Hyperlink"/>
    <w:basedOn w:val="DefaultParagraphFont"/>
    <w:uiPriority w:val="99"/>
    <w:unhideWhenUsed/>
    <w:rsid w:val="00C95CD3"/>
    <w:rPr>
      <w:color w:val="467886" w:themeColor="hyperlink"/>
      <w:u w:val="single"/>
    </w:rPr>
  </w:style>
  <w:style w:type="character" w:styleId="UnresolvedMention">
    <w:name w:val="Unresolved Mention"/>
    <w:basedOn w:val="DefaultParagraphFont"/>
    <w:uiPriority w:val="99"/>
    <w:semiHidden/>
    <w:unhideWhenUsed/>
    <w:rsid w:val="00C95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curity.sdsu.edu/be-cyber-smart/guides/sensitive-data-stora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1543</TotalTime>
  <Pages>2</Pages>
  <Words>313</Words>
  <Characters>1704</Characters>
  <Application>Microsoft Office Word</Application>
  <DocSecurity>0</DocSecurity>
  <Lines>28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Dodge-Schwanz</dc:creator>
  <cp:keywords/>
  <dc:description/>
  <cp:lastModifiedBy>Anne Dodge-Schwanz</cp:lastModifiedBy>
  <cp:revision>4</cp:revision>
  <dcterms:created xsi:type="dcterms:W3CDTF">2026-02-04T21:04:00Z</dcterms:created>
  <dcterms:modified xsi:type="dcterms:W3CDTF">2026-02-05T22:43:00Z</dcterms:modified>
</cp:coreProperties>
</file>