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25" w:rsidRPr="00181E25" w:rsidRDefault="00181E25" w:rsidP="0018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81E25">
        <w:rPr>
          <w:rFonts w:ascii="Times New Roman" w:eastAsia="Times New Roman" w:hAnsi="Times New Roman" w:cs="Times New Roman"/>
          <w:b/>
          <w:bCs/>
          <w:noProof/>
          <w:color w:val="1462E0"/>
          <w:sz w:val="24"/>
          <w:szCs w:val="24"/>
        </w:rPr>
        <w:drawing>
          <wp:inline distT="0" distB="0" distL="0" distR="0">
            <wp:extent cx="3208655" cy="541655"/>
            <wp:effectExtent l="0" t="0" r="0" b="0"/>
            <wp:docPr id="3" name="Picture 3" descr="National Institutes of Health - Office of Extramural Research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Institutes of Health - Office of Extramural Research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E25" w:rsidRPr="00181E25" w:rsidRDefault="00181E25" w:rsidP="0018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E25">
        <w:rPr>
          <w:rFonts w:ascii="Times New Roman" w:eastAsia="Times New Roman" w:hAnsi="Times New Roman" w:cs="Times New Roman"/>
          <w:b/>
          <w:bCs/>
          <w:noProof/>
          <w:color w:val="1462E0"/>
          <w:sz w:val="24"/>
          <w:szCs w:val="24"/>
        </w:rPr>
        <w:drawing>
          <wp:inline distT="0" distB="0" distL="0" distR="0">
            <wp:extent cx="1409700" cy="571500"/>
            <wp:effectExtent l="0" t="0" r="0" b="0"/>
            <wp:docPr id="2" name="Picture 2" descr="Extramural Nexus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tramural Nexus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E25" w:rsidRPr="00181E25" w:rsidRDefault="00181E25" w:rsidP="00181E2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81E2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81E25" w:rsidRPr="00181E25" w:rsidRDefault="00181E25" w:rsidP="00181E2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81E2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81E25" w:rsidRPr="00181E25" w:rsidRDefault="00181E25" w:rsidP="00181E25">
      <w:pPr>
        <w:spacing w:after="0" w:line="240" w:lineRule="auto"/>
        <w:outlineLvl w:val="0"/>
        <w:rPr>
          <w:rFonts w:ascii="Arial" w:eastAsia="Times New Roman" w:hAnsi="Arial" w:cs="Arial"/>
          <w:color w:val="1A1A1A"/>
          <w:kern w:val="36"/>
          <w:sz w:val="54"/>
          <w:szCs w:val="54"/>
        </w:rPr>
      </w:pPr>
      <w:r w:rsidRPr="00181E25">
        <w:rPr>
          <w:rFonts w:ascii="Arial" w:eastAsia="Times New Roman" w:hAnsi="Arial" w:cs="Arial"/>
          <w:color w:val="1A1A1A"/>
          <w:kern w:val="36"/>
          <w:sz w:val="54"/>
          <w:szCs w:val="54"/>
        </w:rPr>
        <w:t>Enhanced Checks for Compliance with Clinical Trial Registration and Reporting in RPPR</w:t>
      </w:r>
    </w:p>
    <w:p w:rsidR="00181E25" w:rsidRPr="00181E25" w:rsidRDefault="00181E25" w:rsidP="00181E25">
      <w:p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181E25">
        <w:rPr>
          <w:rFonts w:ascii="Arial" w:eastAsia="Times New Roman" w:hAnsi="Arial" w:cs="Arial"/>
          <w:color w:val="1A1A1A"/>
          <w:sz w:val="24"/>
          <w:szCs w:val="24"/>
        </w:rPr>
        <w:t> </w:t>
      </w:r>
    </w:p>
    <w:p w:rsidR="00181E25" w:rsidRPr="00181E25" w:rsidRDefault="00181E25" w:rsidP="00181E25">
      <w:pPr>
        <w:spacing w:after="0" w:line="240" w:lineRule="auto"/>
        <w:rPr>
          <w:rFonts w:ascii="Arial" w:eastAsia="Times New Roman" w:hAnsi="Arial" w:cs="Arial"/>
          <w:color w:val="707070"/>
          <w:sz w:val="24"/>
          <w:szCs w:val="24"/>
        </w:rPr>
      </w:pPr>
      <w:r w:rsidRPr="00181E25">
        <w:rPr>
          <w:rFonts w:ascii="Arial" w:eastAsia="Times New Roman" w:hAnsi="Arial" w:cs="Arial"/>
          <w:color w:val="707070"/>
          <w:sz w:val="24"/>
          <w:szCs w:val="24"/>
        </w:rPr>
        <w:t>By </w:t>
      </w:r>
      <w:hyperlink r:id="rId8" w:history="1">
        <w:r w:rsidRPr="00181E25">
          <w:rPr>
            <w:rFonts w:ascii="Arial" w:eastAsia="Times New Roman" w:hAnsi="Arial" w:cs="Arial"/>
            <w:b/>
            <w:bCs/>
            <w:color w:val="707070"/>
            <w:sz w:val="24"/>
            <w:szCs w:val="24"/>
          </w:rPr>
          <w:t>NIH Staff</w:t>
        </w:r>
      </w:hyperlink>
    </w:p>
    <w:p w:rsidR="00181E25" w:rsidRPr="00181E25" w:rsidRDefault="00181E25" w:rsidP="00181E25">
      <w:pPr>
        <w:spacing w:line="240" w:lineRule="auto"/>
        <w:rPr>
          <w:rFonts w:ascii="Arial" w:eastAsia="Times New Roman" w:hAnsi="Arial" w:cs="Arial"/>
          <w:color w:val="707070"/>
          <w:sz w:val="24"/>
          <w:szCs w:val="24"/>
        </w:rPr>
      </w:pPr>
      <w:r w:rsidRPr="00181E25">
        <w:rPr>
          <w:rFonts w:ascii="Arial" w:eastAsia="Times New Roman" w:hAnsi="Arial" w:cs="Arial"/>
          <w:color w:val="707070"/>
          <w:sz w:val="24"/>
          <w:szCs w:val="24"/>
        </w:rPr>
        <w:t>Posted November 9, 2021</w:t>
      </w:r>
    </w:p>
    <w:p w:rsidR="00181E25" w:rsidRPr="00181E25" w:rsidRDefault="00181E25" w:rsidP="00181E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81E25">
        <w:rPr>
          <w:rFonts w:ascii="Arial" w:eastAsia="Times New Roman" w:hAnsi="Arial" w:cs="Arial"/>
          <w:color w:val="000000"/>
          <w:sz w:val="24"/>
          <w:szCs w:val="24"/>
        </w:rPr>
        <w:t xml:space="preserve">Enhanced checks on non-compliance with clinical trial registration and reporting came into effect in </w:t>
      </w:r>
      <w:proofErr w:type="spellStart"/>
      <w:r w:rsidRPr="00181E25">
        <w:rPr>
          <w:rFonts w:ascii="Arial" w:eastAsia="Times New Roman" w:hAnsi="Arial" w:cs="Arial"/>
          <w:color w:val="000000"/>
          <w:sz w:val="24"/>
          <w:szCs w:val="24"/>
        </w:rPr>
        <w:t>eRA’s</w:t>
      </w:r>
      <w:proofErr w:type="spellEnd"/>
      <w:r w:rsidRPr="00181E25">
        <w:rPr>
          <w:rFonts w:ascii="Arial" w:eastAsia="Times New Roman" w:hAnsi="Arial" w:cs="Arial"/>
          <w:color w:val="000000"/>
          <w:sz w:val="24"/>
          <w:szCs w:val="24"/>
        </w:rPr>
        <w:t xml:space="preserve"> Human Subjects System on October 1 that could delay your RPPR submission if you are late on either front (see details in </w:t>
      </w:r>
      <w:proofErr w:type="spellStart"/>
      <w:r w:rsidRPr="00181E25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181E25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"https://era.nih.gov/news/era-enhancements-new-errors-non-compliance-clinical-trial-registration-and-reporting-time" </w:instrText>
      </w:r>
      <w:r w:rsidRPr="00181E25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181E25">
        <w:rPr>
          <w:rFonts w:ascii="Arial" w:eastAsia="Times New Roman" w:hAnsi="Arial" w:cs="Arial"/>
          <w:b/>
          <w:bCs/>
          <w:color w:val="1462E0"/>
          <w:sz w:val="24"/>
          <w:szCs w:val="24"/>
        </w:rPr>
        <w:t>eRA</w:t>
      </w:r>
      <w:proofErr w:type="spellEnd"/>
      <w:r w:rsidRPr="00181E25">
        <w:rPr>
          <w:rFonts w:ascii="Arial" w:eastAsia="Times New Roman" w:hAnsi="Arial" w:cs="Arial"/>
          <w:b/>
          <w:bCs/>
          <w:color w:val="1462E0"/>
          <w:sz w:val="24"/>
          <w:szCs w:val="24"/>
        </w:rPr>
        <w:t xml:space="preserve"> news item</w:t>
      </w:r>
      <w:r w:rsidRPr="00181E25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181E25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181E25" w:rsidRPr="00181E25" w:rsidRDefault="00181E25" w:rsidP="00181E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81E25">
        <w:rPr>
          <w:rFonts w:ascii="Arial" w:eastAsia="Times New Roman" w:hAnsi="Arial" w:cs="Arial"/>
          <w:color w:val="000000"/>
          <w:sz w:val="24"/>
          <w:szCs w:val="24"/>
        </w:rPr>
        <w:t xml:space="preserve">Remember that all NIH-funded clinical trials </w:t>
      </w:r>
      <w:proofErr w:type="gramStart"/>
      <w:r w:rsidRPr="00181E25">
        <w:rPr>
          <w:rFonts w:ascii="Arial" w:eastAsia="Times New Roman" w:hAnsi="Arial" w:cs="Arial"/>
          <w:color w:val="000000"/>
          <w:sz w:val="24"/>
          <w:szCs w:val="24"/>
        </w:rPr>
        <w:t>are expected</w:t>
      </w:r>
      <w:proofErr w:type="gramEnd"/>
      <w:r w:rsidRPr="00181E25">
        <w:rPr>
          <w:rFonts w:ascii="Arial" w:eastAsia="Times New Roman" w:hAnsi="Arial" w:cs="Arial"/>
          <w:color w:val="000000"/>
          <w:sz w:val="24"/>
          <w:szCs w:val="24"/>
        </w:rPr>
        <w:t xml:space="preserve"> to register and submit results information to </w:t>
      </w:r>
      <w:hyperlink r:id="rId9" w:history="1">
        <w:r w:rsidRPr="00181E25">
          <w:rPr>
            <w:rFonts w:ascii="Arial" w:eastAsia="Times New Roman" w:hAnsi="Arial" w:cs="Arial"/>
            <w:b/>
            <w:bCs/>
            <w:color w:val="1462E0"/>
            <w:sz w:val="24"/>
            <w:szCs w:val="24"/>
          </w:rPr>
          <w:t>Clinicaltrials.gov</w:t>
        </w:r>
      </w:hyperlink>
      <w:r w:rsidRPr="00181E25">
        <w:rPr>
          <w:rFonts w:ascii="Arial" w:eastAsia="Times New Roman" w:hAnsi="Arial" w:cs="Arial"/>
          <w:color w:val="000000"/>
          <w:sz w:val="24"/>
          <w:szCs w:val="24"/>
        </w:rPr>
        <w:t>, as per the “</w:t>
      </w:r>
      <w:hyperlink r:id="rId10" w:history="1">
        <w:r w:rsidRPr="00181E25">
          <w:rPr>
            <w:rFonts w:ascii="Arial" w:eastAsia="Times New Roman" w:hAnsi="Arial" w:cs="Arial"/>
            <w:b/>
            <w:bCs/>
            <w:color w:val="1462E0"/>
            <w:sz w:val="24"/>
            <w:szCs w:val="24"/>
          </w:rPr>
          <w:t>NIH Policy on Dissemination of NIH-Funded Clinical Trial Information</w:t>
        </w:r>
      </w:hyperlink>
      <w:r w:rsidRPr="00181E25">
        <w:rPr>
          <w:rFonts w:ascii="Arial" w:eastAsia="Times New Roman" w:hAnsi="Arial" w:cs="Arial"/>
          <w:color w:val="000000"/>
          <w:sz w:val="24"/>
          <w:szCs w:val="24"/>
        </w:rPr>
        <w:t>.”</w:t>
      </w:r>
    </w:p>
    <w:p w:rsidR="00181E25" w:rsidRPr="00181E25" w:rsidRDefault="00181E25" w:rsidP="00181E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81E25">
        <w:rPr>
          <w:rFonts w:ascii="Arial" w:eastAsia="Times New Roman" w:hAnsi="Arial" w:cs="Arial"/>
          <w:color w:val="000000"/>
          <w:sz w:val="24"/>
          <w:szCs w:val="24"/>
        </w:rPr>
        <w:t>These new checks will now result in an error for grant recipients upon submission of a Research Performance Progress Report (RPPR) when clinical trial registration (required 21 days after enrollment of first participant) and/or results reporting (required 12 months after trial actual primary completion date) is overdue.</w:t>
      </w:r>
    </w:p>
    <w:p w:rsidR="00181E25" w:rsidRPr="00181E25" w:rsidRDefault="00181E25" w:rsidP="00181E25">
      <w:pPr>
        <w:numPr>
          <w:ilvl w:val="0"/>
          <w:numId w:val="4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1A1A1A"/>
          <w:sz w:val="24"/>
          <w:szCs w:val="24"/>
        </w:rPr>
      </w:pPr>
      <w:r w:rsidRPr="00181E25">
        <w:rPr>
          <w:rFonts w:ascii="Arial" w:eastAsia="Times New Roman" w:hAnsi="Arial" w:cs="Arial"/>
          <w:color w:val="1A1A1A"/>
          <w:sz w:val="24"/>
          <w:szCs w:val="24"/>
        </w:rPr>
        <w:t xml:space="preserve">Currently, grant recipients receive a warning if they </w:t>
      </w:r>
      <w:proofErr w:type="gramStart"/>
      <w:r w:rsidRPr="00181E25">
        <w:rPr>
          <w:rFonts w:ascii="Arial" w:eastAsia="Times New Roman" w:hAnsi="Arial" w:cs="Arial"/>
          <w:color w:val="1A1A1A"/>
          <w:sz w:val="24"/>
          <w:szCs w:val="24"/>
        </w:rPr>
        <w:t>are not in compliance</w:t>
      </w:r>
      <w:proofErr w:type="gramEnd"/>
      <w:r w:rsidRPr="00181E25">
        <w:rPr>
          <w:rFonts w:ascii="Arial" w:eastAsia="Times New Roman" w:hAnsi="Arial" w:cs="Arial"/>
          <w:color w:val="1A1A1A"/>
          <w:sz w:val="24"/>
          <w:szCs w:val="24"/>
        </w:rPr>
        <w:t xml:space="preserve"> with clinical trial registration at 21 days after the enrollment of the first participant. They will also now see a new error if they are more than 30 days past this date.</w:t>
      </w:r>
    </w:p>
    <w:p w:rsidR="00181E25" w:rsidRPr="00181E25" w:rsidRDefault="00181E25" w:rsidP="00181E25">
      <w:pPr>
        <w:numPr>
          <w:ilvl w:val="0"/>
          <w:numId w:val="4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1A1A1A"/>
          <w:sz w:val="24"/>
          <w:szCs w:val="24"/>
        </w:rPr>
      </w:pPr>
      <w:r w:rsidRPr="00181E25">
        <w:rPr>
          <w:rFonts w:ascii="Arial" w:eastAsia="Times New Roman" w:hAnsi="Arial" w:cs="Arial"/>
          <w:color w:val="1A1A1A"/>
          <w:sz w:val="24"/>
          <w:szCs w:val="24"/>
        </w:rPr>
        <w:t>Similarly, the current warning for results reporting will change to an error; grant recipients will now receive an error when results are overdue by more than 12 months after the trial’s actual primary completion date.</w:t>
      </w:r>
    </w:p>
    <w:p w:rsidR="00181E25" w:rsidRPr="00181E25" w:rsidRDefault="00181E25" w:rsidP="00181E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81E25">
        <w:rPr>
          <w:rFonts w:ascii="Arial" w:eastAsia="Times New Roman" w:hAnsi="Arial" w:cs="Arial"/>
          <w:color w:val="000000"/>
          <w:sz w:val="24"/>
          <w:szCs w:val="24"/>
        </w:rPr>
        <w:t>The clinical trial registration error for RPPR submission or red bar to award will be resolved when:</w:t>
      </w:r>
    </w:p>
    <w:p w:rsidR="00181E25" w:rsidRPr="00181E25" w:rsidRDefault="00181E25" w:rsidP="00181E25">
      <w:pPr>
        <w:numPr>
          <w:ilvl w:val="0"/>
          <w:numId w:val="5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1A1A1A"/>
          <w:sz w:val="24"/>
          <w:szCs w:val="24"/>
        </w:rPr>
      </w:pPr>
      <w:r w:rsidRPr="00181E25">
        <w:rPr>
          <w:rFonts w:ascii="Arial" w:eastAsia="Times New Roman" w:hAnsi="Arial" w:cs="Arial"/>
          <w:color w:val="1A1A1A"/>
          <w:sz w:val="24"/>
          <w:szCs w:val="24"/>
        </w:rPr>
        <w:t>the recipient completes the required registration and provides the NCT# (Clinicaltrials.gov identifier) on the Human Subjects Clinical Trial Information (HSCT) form, or by</w:t>
      </w:r>
    </w:p>
    <w:p w:rsidR="00181E25" w:rsidRPr="00181E25" w:rsidRDefault="00181E25" w:rsidP="00181E25">
      <w:pPr>
        <w:numPr>
          <w:ilvl w:val="0"/>
          <w:numId w:val="5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1A1A1A"/>
          <w:sz w:val="24"/>
          <w:szCs w:val="24"/>
        </w:rPr>
      </w:pPr>
      <w:proofErr w:type="gramStart"/>
      <w:r w:rsidRPr="00181E25">
        <w:rPr>
          <w:rFonts w:ascii="Arial" w:eastAsia="Times New Roman" w:hAnsi="Arial" w:cs="Arial"/>
          <w:color w:val="1A1A1A"/>
          <w:sz w:val="24"/>
          <w:szCs w:val="24"/>
        </w:rPr>
        <w:t>providing</w:t>
      </w:r>
      <w:proofErr w:type="gramEnd"/>
      <w:r w:rsidRPr="00181E25">
        <w:rPr>
          <w:rFonts w:ascii="Arial" w:eastAsia="Times New Roman" w:hAnsi="Arial" w:cs="Arial"/>
          <w:color w:val="1A1A1A"/>
          <w:sz w:val="24"/>
          <w:szCs w:val="24"/>
        </w:rPr>
        <w:t xml:space="preserve"> the </w:t>
      </w:r>
      <w:hyperlink r:id="rId11" w:history="1">
        <w:r w:rsidRPr="00181E25">
          <w:rPr>
            <w:rFonts w:ascii="Arial" w:eastAsia="Times New Roman" w:hAnsi="Arial" w:cs="Arial"/>
            <w:b/>
            <w:bCs/>
            <w:color w:val="1462E0"/>
            <w:sz w:val="24"/>
            <w:szCs w:val="24"/>
          </w:rPr>
          <w:t>ClinicalTrials.gov</w:t>
        </w:r>
      </w:hyperlink>
      <w:r w:rsidRPr="00181E25">
        <w:rPr>
          <w:rFonts w:ascii="Arial" w:eastAsia="Times New Roman" w:hAnsi="Arial" w:cs="Arial"/>
          <w:color w:val="1A1A1A"/>
          <w:sz w:val="24"/>
          <w:szCs w:val="24"/>
        </w:rPr>
        <w:t> registration receipt that is received upon submission of the trial registration information to </w:t>
      </w:r>
      <w:hyperlink r:id="rId12" w:history="1">
        <w:r w:rsidRPr="00181E25">
          <w:rPr>
            <w:rFonts w:ascii="Arial" w:eastAsia="Times New Roman" w:hAnsi="Arial" w:cs="Arial"/>
            <w:b/>
            <w:bCs/>
            <w:color w:val="1462E0"/>
            <w:sz w:val="24"/>
            <w:szCs w:val="24"/>
          </w:rPr>
          <w:t>ClinicalTrials.gov</w:t>
        </w:r>
      </w:hyperlink>
      <w:r w:rsidRPr="00181E25">
        <w:rPr>
          <w:rFonts w:ascii="Arial" w:eastAsia="Times New Roman" w:hAnsi="Arial" w:cs="Arial"/>
          <w:color w:val="1A1A1A"/>
          <w:sz w:val="24"/>
          <w:szCs w:val="24"/>
        </w:rPr>
        <w:t xml:space="preserve">. The receipt </w:t>
      </w:r>
      <w:proofErr w:type="gramStart"/>
      <w:r w:rsidRPr="00181E25">
        <w:rPr>
          <w:rFonts w:ascii="Arial" w:eastAsia="Times New Roman" w:hAnsi="Arial" w:cs="Arial"/>
          <w:color w:val="1A1A1A"/>
          <w:sz w:val="24"/>
          <w:szCs w:val="24"/>
        </w:rPr>
        <w:lastRenderedPageBreak/>
        <w:t>must be uploaded</w:t>
      </w:r>
      <w:proofErr w:type="gramEnd"/>
      <w:r w:rsidRPr="00181E25">
        <w:rPr>
          <w:rFonts w:ascii="Arial" w:eastAsia="Times New Roman" w:hAnsi="Arial" w:cs="Arial"/>
          <w:color w:val="1A1A1A"/>
          <w:sz w:val="24"/>
          <w:szCs w:val="24"/>
        </w:rPr>
        <w:t xml:space="preserve"> in other attachments section of the HSCT form (Section 5.1) as a PDF document. The file name must be CTgov_Registration_Receipt.pdf.</w:t>
      </w:r>
    </w:p>
    <w:p w:rsidR="00181E25" w:rsidRPr="00181E25" w:rsidRDefault="00181E25" w:rsidP="00181E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81E25">
        <w:rPr>
          <w:rFonts w:ascii="Arial" w:eastAsia="Times New Roman" w:hAnsi="Arial" w:cs="Arial"/>
          <w:color w:val="000000"/>
          <w:sz w:val="24"/>
          <w:szCs w:val="24"/>
        </w:rPr>
        <w:t>The results reporting error or award bar will be resolved when:</w:t>
      </w:r>
    </w:p>
    <w:p w:rsidR="00181E25" w:rsidRPr="00181E25" w:rsidRDefault="00181E25" w:rsidP="00181E25">
      <w:pPr>
        <w:numPr>
          <w:ilvl w:val="0"/>
          <w:numId w:val="6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1A1A1A"/>
          <w:sz w:val="24"/>
          <w:szCs w:val="24"/>
        </w:rPr>
      </w:pPr>
      <w:r w:rsidRPr="00181E25">
        <w:rPr>
          <w:rFonts w:ascii="Arial" w:eastAsia="Times New Roman" w:hAnsi="Arial" w:cs="Arial"/>
          <w:color w:val="1A1A1A"/>
          <w:sz w:val="24"/>
          <w:szCs w:val="24"/>
        </w:rPr>
        <w:t>results are submitted in Clinicaltrials.gov, or by</w:t>
      </w:r>
    </w:p>
    <w:p w:rsidR="00181E25" w:rsidRPr="00181E25" w:rsidRDefault="00181E25" w:rsidP="00181E25">
      <w:pPr>
        <w:numPr>
          <w:ilvl w:val="0"/>
          <w:numId w:val="6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1A1A1A"/>
          <w:sz w:val="24"/>
          <w:szCs w:val="24"/>
        </w:rPr>
      </w:pPr>
      <w:proofErr w:type="gramStart"/>
      <w:r w:rsidRPr="00181E25">
        <w:rPr>
          <w:rFonts w:ascii="Arial" w:eastAsia="Times New Roman" w:hAnsi="Arial" w:cs="Arial"/>
          <w:color w:val="1A1A1A"/>
          <w:sz w:val="24"/>
          <w:szCs w:val="24"/>
        </w:rPr>
        <w:t>the</w:t>
      </w:r>
      <w:proofErr w:type="gramEnd"/>
      <w:r w:rsidRPr="00181E25">
        <w:rPr>
          <w:rFonts w:ascii="Arial" w:eastAsia="Times New Roman" w:hAnsi="Arial" w:cs="Arial"/>
          <w:color w:val="1A1A1A"/>
          <w:sz w:val="24"/>
          <w:szCs w:val="24"/>
        </w:rPr>
        <w:t xml:space="preserve"> ClinicalTrials.gov submission receipt for a (1) Good Cause Extension request or (2) Certification of Delayed Submission of Results Information from ClinicalTrials.gov has been provided. The receipt </w:t>
      </w:r>
      <w:proofErr w:type="gramStart"/>
      <w:r w:rsidRPr="00181E25">
        <w:rPr>
          <w:rFonts w:ascii="Arial" w:eastAsia="Times New Roman" w:hAnsi="Arial" w:cs="Arial"/>
          <w:color w:val="1A1A1A"/>
          <w:sz w:val="24"/>
          <w:szCs w:val="24"/>
        </w:rPr>
        <w:t>must be uploaded</w:t>
      </w:r>
      <w:proofErr w:type="gramEnd"/>
      <w:r w:rsidRPr="00181E25">
        <w:rPr>
          <w:rFonts w:ascii="Arial" w:eastAsia="Times New Roman" w:hAnsi="Arial" w:cs="Arial"/>
          <w:color w:val="1A1A1A"/>
          <w:sz w:val="24"/>
          <w:szCs w:val="24"/>
        </w:rPr>
        <w:t xml:space="preserve"> in the other attachments section of the HSCT form (Section 5.1) as a PDF document. The file name must be CTgov_Registration_Receipt.pdf.</w:t>
      </w:r>
    </w:p>
    <w:p w:rsidR="00181E25" w:rsidRPr="00181E25" w:rsidRDefault="00181E25" w:rsidP="00181E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81E25">
        <w:rPr>
          <w:rFonts w:ascii="Arial" w:eastAsia="Times New Roman" w:hAnsi="Arial" w:cs="Arial"/>
          <w:b/>
          <w:bCs/>
          <w:color w:val="000000"/>
          <w:sz w:val="24"/>
          <w:szCs w:val="24"/>
        </w:rPr>
        <w:t>Note:</w:t>
      </w:r>
      <w:r w:rsidRPr="00181E25">
        <w:rPr>
          <w:rFonts w:ascii="Arial" w:eastAsia="Times New Roman" w:hAnsi="Arial" w:cs="Arial"/>
          <w:color w:val="000000"/>
          <w:sz w:val="24"/>
          <w:szCs w:val="24"/>
        </w:rPr>
        <w:t>  Please see the NIH guide notice </w:t>
      </w:r>
      <w:hyperlink r:id="rId13" w:history="1">
        <w:r w:rsidRPr="00181E25">
          <w:rPr>
            <w:rFonts w:ascii="Arial" w:eastAsia="Times New Roman" w:hAnsi="Arial" w:cs="Arial"/>
            <w:b/>
            <w:bCs/>
            <w:color w:val="1462E0"/>
            <w:sz w:val="24"/>
            <w:szCs w:val="24"/>
          </w:rPr>
          <w:t>NOT-OD-22-008</w:t>
        </w:r>
      </w:hyperlink>
      <w:r w:rsidRPr="00181E25">
        <w:rPr>
          <w:rFonts w:ascii="Arial" w:eastAsia="Times New Roman" w:hAnsi="Arial" w:cs="Arial"/>
          <w:color w:val="000000"/>
          <w:sz w:val="24"/>
          <w:szCs w:val="24"/>
        </w:rPr>
        <w:t> for additional details.</w:t>
      </w:r>
    </w:p>
    <w:p w:rsidR="00525291" w:rsidRDefault="00525291"/>
    <w:sectPr w:rsidR="00525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6EC0"/>
    <w:multiLevelType w:val="multilevel"/>
    <w:tmpl w:val="35DA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54784F"/>
    <w:multiLevelType w:val="multilevel"/>
    <w:tmpl w:val="6BD2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527C2D"/>
    <w:multiLevelType w:val="multilevel"/>
    <w:tmpl w:val="4A0E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6C506B"/>
    <w:multiLevelType w:val="multilevel"/>
    <w:tmpl w:val="B7B6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26B03"/>
    <w:multiLevelType w:val="multilevel"/>
    <w:tmpl w:val="36A4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B9349E"/>
    <w:multiLevelType w:val="multilevel"/>
    <w:tmpl w:val="7B40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25"/>
    <w:rsid w:val="00181E25"/>
    <w:rsid w:val="004C3EC3"/>
    <w:rsid w:val="0052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A08EF-EE50-40E9-BCBA-6AA23C21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1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E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81E25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81E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81E25"/>
    <w:rPr>
      <w:rFonts w:ascii="Arial" w:eastAsia="Times New Roman" w:hAnsi="Arial" w:cs="Arial"/>
      <w:vanish/>
      <w:sz w:val="16"/>
      <w:szCs w:val="16"/>
    </w:rPr>
  </w:style>
  <w:style w:type="character" w:customStyle="1" w:styleId="screen-reader-text">
    <w:name w:val="screen-reader-text"/>
    <w:basedOn w:val="DefaultParagraphFont"/>
    <w:rsid w:val="00181E2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81E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81E25"/>
    <w:rPr>
      <w:rFonts w:ascii="Arial" w:eastAsia="Times New Roman" w:hAnsi="Arial" w:cs="Arial"/>
      <w:vanish/>
      <w:sz w:val="16"/>
      <w:szCs w:val="16"/>
    </w:rPr>
  </w:style>
  <w:style w:type="paragraph" w:customStyle="1" w:styleId="site-title">
    <w:name w:val="site-title"/>
    <w:basedOn w:val="Normal"/>
    <w:rsid w:val="0018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description">
    <w:name w:val="site-description"/>
    <w:basedOn w:val="Normal"/>
    <w:rsid w:val="0018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mary-menu-text">
    <w:name w:val="primary-menu-text"/>
    <w:basedOn w:val="DefaultParagraphFont"/>
    <w:rsid w:val="00181E25"/>
  </w:style>
  <w:style w:type="character" w:customStyle="1" w:styleId="in-widget">
    <w:name w:val="in-widget"/>
    <w:basedOn w:val="DefaultParagraphFont"/>
    <w:rsid w:val="00181E25"/>
  </w:style>
  <w:style w:type="paragraph" w:styleId="NormalWeb">
    <w:name w:val="Normal (Web)"/>
    <w:basedOn w:val="Normal"/>
    <w:uiPriority w:val="99"/>
    <w:semiHidden/>
    <w:unhideWhenUsed/>
    <w:rsid w:val="0018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">
    <w:name w:val="posted-on"/>
    <w:basedOn w:val="DefaultParagraphFont"/>
    <w:rsid w:val="00181E25"/>
  </w:style>
  <w:style w:type="character" w:styleId="Strong">
    <w:name w:val="Strong"/>
    <w:basedOn w:val="DefaultParagraphFont"/>
    <w:uiPriority w:val="22"/>
    <w:qFormat/>
    <w:rsid w:val="00181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689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7681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4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918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us.od.nih.gov/all/author/nih-staff/" TargetMode="External"/><Relationship Id="rId13" Type="http://schemas.openxmlformats.org/officeDocument/2006/relationships/hyperlink" Target="https://grants.nih.gov/grants/guide/notice-files/NOT-OD-22-008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clinicaltrials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linicaltrials.gov/" TargetMode="External"/><Relationship Id="rId5" Type="http://schemas.openxmlformats.org/officeDocument/2006/relationships/hyperlink" Target="https://nexus.od.nih.gov/al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rants.nih.gov/policy/clinical-trials/reporting/understanding/nih-polic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nicaltrials.gov/ct2/ho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Gulizia</dc:creator>
  <cp:keywords/>
  <dc:description/>
  <cp:lastModifiedBy>Anne Dodge-Schwanz</cp:lastModifiedBy>
  <cp:revision>2</cp:revision>
  <dcterms:created xsi:type="dcterms:W3CDTF">2021-11-19T20:29:00Z</dcterms:created>
  <dcterms:modified xsi:type="dcterms:W3CDTF">2021-11-19T20:29:00Z</dcterms:modified>
</cp:coreProperties>
</file>